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E8C" w:rsidRDefault="00E732A3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#100bis-e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ab/>
        <w:t xml:space="preserve">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</w:rPr>
        <w:t xml:space="preserve">          </w:t>
      </w:r>
      <w:r>
        <w:rPr>
          <w:rFonts w:ascii="Arial" w:hAnsi="Arial" w:cs="Arial"/>
          <w:b/>
          <w:bCs/>
          <w:sz w:val="28"/>
        </w:rPr>
        <w:t xml:space="preserve">  R1-2001899</w:t>
      </w:r>
    </w:p>
    <w:p w:rsidR="00586E8C" w:rsidRDefault="00E732A3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586E8C" w:rsidRDefault="00E732A3" w:rsidP="00D67746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on QoS</w:t>
      </w:r>
    </w:p>
    <w:p w:rsidR="00586E8C" w:rsidRDefault="00E732A3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586E8C" w:rsidRDefault="00E732A3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7.2.4.6</w:t>
      </w:r>
    </w:p>
    <w:p w:rsidR="00586E8C" w:rsidRDefault="00E732A3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586E8C" w:rsidRDefault="00E732A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586E8C" w:rsidRDefault="00E732A3">
      <w:pPr>
        <w:spacing w:before="120" w:after="120"/>
      </w:pPr>
      <w:r>
        <w:rPr>
          <w:rFonts w:hint="eastAsia"/>
        </w:rPr>
        <w:t>At RAN1 #100e meeting, the following agreements and corresponding TPs are endorsed[1]:</w:t>
      </w:r>
    </w:p>
    <w:tbl>
      <w:tblPr>
        <w:tblStyle w:val="TableGrid"/>
        <w:tblW w:w="9876" w:type="dxa"/>
        <w:tblLayout w:type="fixed"/>
        <w:tblLook w:val="04A0"/>
      </w:tblPr>
      <w:tblGrid>
        <w:gridCol w:w="9876"/>
      </w:tblGrid>
      <w:tr w:rsidR="00586E8C">
        <w:tc>
          <w:tcPr>
            <w:tcW w:w="9876" w:type="dxa"/>
          </w:tcPr>
          <w:p w:rsidR="00586E8C" w:rsidRDefault="00E732A3" w:rsidP="00D67746">
            <w:pPr>
              <w:spacing w:after="120" w:line="280" w:lineRule="atLeast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Agreements: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sz w:val="20"/>
              </w:rPr>
              <w:t>For the constraints on past/future window in CR evaluation:</w:t>
            </w:r>
          </w:p>
          <w:p w:rsidR="00586E8C" w:rsidRDefault="00E732A3">
            <w:pPr>
              <w:pStyle w:val="ListParagraph"/>
              <w:numPr>
                <w:ilvl w:val="0"/>
                <w:numId w:val="9"/>
              </w:numPr>
              <w:spacing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ko-KR"/>
              </w:rPr>
              <w:t xml:space="preserve">n+b shall not exceed the last transmission opportunity of the grant for the current transmission </w:t>
            </w:r>
          </w:p>
          <w:p w:rsidR="00586E8C" w:rsidRDefault="00E732A3">
            <w:pPr>
              <w:pStyle w:val="ListParagraph"/>
              <w:numPr>
                <w:ilvl w:val="0"/>
                <w:numId w:val="9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b &gt;= 0</w:t>
            </w:r>
          </w:p>
          <w:p w:rsidR="00586E8C" w:rsidRDefault="00E732A3">
            <w:pPr>
              <w:pStyle w:val="ListParagraph"/>
              <w:numPr>
                <w:ilvl w:val="0"/>
                <w:numId w:val="9"/>
              </w:numPr>
              <w:spacing w:after="120"/>
              <w:ind w:left="714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(b is in slots) b &lt; (a+b+1)/2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sz w:val="20"/>
              </w:rPr>
              <w:t>Note:</w:t>
            </w:r>
          </w:p>
          <w:p w:rsidR="00586E8C" w:rsidRDefault="00E732A3">
            <w:pPr>
              <w:pStyle w:val="ListParagraph"/>
              <w:numPr>
                <w:ilvl w:val="0"/>
                <w:numId w:val="9"/>
              </w:numPr>
              <w:spacing w:after="12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in the first bullet point above, LTE’s “should” has been replaced by “shall”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b/>
                <w:bCs/>
                <w:sz w:val="20"/>
              </w:rPr>
              <w:t>Decision:</w:t>
            </w:r>
            <w:r>
              <w:rPr>
                <w:sz w:val="20"/>
              </w:rPr>
              <w:t xml:space="preserve"> As per email decision posted Mar. 4</w:t>
            </w:r>
            <w:r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  <w:highlight w:val="green"/>
              </w:rPr>
              <w:t>TP (38.215) in R1-2001294 is endorsed</w:t>
            </w:r>
            <w:r>
              <w:rPr>
                <w:sz w:val="20"/>
              </w:rPr>
              <w:t>.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sz w:val="20"/>
                <w:highlight w:val="green"/>
              </w:rPr>
              <w:t>Agreement:</w:t>
            </w:r>
          </w:p>
          <w:p w:rsidR="00586E8C" w:rsidRDefault="00E732A3">
            <w:pPr>
              <w:pStyle w:val="ListParagraph"/>
              <w:numPr>
                <w:ilvl w:val="0"/>
                <w:numId w:val="9"/>
              </w:numPr>
              <w:spacing w:after="120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</w:rPr>
              <w:t>UE evaluates CR and applies CR_limit for every (re)transmission.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b/>
                <w:bCs/>
                <w:sz w:val="20"/>
              </w:rPr>
              <w:t>Decision:</w:t>
            </w:r>
            <w:r>
              <w:rPr>
                <w:sz w:val="20"/>
              </w:rPr>
              <w:t xml:space="preserve"> As per email decision posted Mar. 5</w:t>
            </w:r>
            <w:r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  <w:highlight w:val="green"/>
              </w:rPr>
              <w:t>TPs (38.214, 38.215) in R1-2001294 are endorsed</w:t>
            </w:r>
            <w:r>
              <w:rPr>
                <w:sz w:val="20"/>
              </w:rPr>
              <w:t>.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sz w:val="20"/>
                <w:highlight w:val="green"/>
              </w:rPr>
              <w:t>Agreements</w:t>
            </w:r>
            <w:r>
              <w:rPr>
                <w:sz w:val="20"/>
              </w:rPr>
              <w:t>:</w:t>
            </w:r>
          </w:p>
          <w:p w:rsidR="00586E8C" w:rsidRDefault="00E732A3" w:rsidP="00D67746">
            <w:pPr>
              <w:numPr>
                <w:ilvl w:val="0"/>
                <w:numId w:val="10"/>
              </w:numPr>
              <w:spacing w:after="120" w:line="280" w:lineRule="atLeast"/>
              <w:rPr>
                <w:sz w:val="20"/>
              </w:rPr>
            </w:pPr>
            <w:r>
              <w:rPr>
                <w:sz w:val="20"/>
              </w:rPr>
              <w:t>The slot index in the definition of CBR is the physical slot index.</w:t>
            </w:r>
          </w:p>
          <w:p w:rsidR="00586E8C" w:rsidRDefault="00E732A3" w:rsidP="00D67746">
            <w:pPr>
              <w:numPr>
                <w:ilvl w:val="0"/>
                <w:numId w:val="10"/>
              </w:numPr>
              <w:spacing w:after="120" w:line="280" w:lineRule="atLeast"/>
              <w:rPr>
                <w:sz w:val="20"/>
              </w:rPr>
            </w:pPr>
            <w:r>
              <w:rPr>
                <w:sz w:val="20"/>
              </w:rPr>
              <w:t>The slot index in the definition of CR is the physical slot index.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  <w:lang w:val="de-DE"/>
              </w:rPr>
            </w:pPr>
            <w:r>
              <w:rPr>
                <w:sz w:val="20"/>
                <w:highlight w:val="green"/>
                <w:lang w:val="de-DE"/>
              </w:rPr>
              <w:t>Agreements</w:t>
            </w:r>
            <w:r>
              <w:rPr>
                <w:sz w:val="20"/>
                <w:lang w:val="de-DE"/>
              </w:rPr>
              <w:t>:</w:t>
            </w:r>
          </w:p>
          <w:p w:rsidR="00586E8C" w:rsidRDefault="00E732A3" w:rsidP="00D67746">
            <w:pPr>
              <w:numPr>
                <w:ilvl w:val="0"/>
                <w:numId w:val="11"/>
              </w:numPr>
              <w:spacing w:after="120" w:line="280" w:lineRule="atLeast"/>
              <w:rPr>
                <w:rFonts w:eastAsia="Times New Roman"/>
                <w:sz w:val="20"/>
                <w:lang w:eastAsia="ko-KR"/>
              </w:rPr>
            </w:pPr>
            <w:r>
              <w:rPr>
                <w:rFonts w:eastAsia="Times New Roman"/>
                <w:sz w:val="20"/>
                <w:lang w:eastAsia="ko-KR"/>
              </w:rPr>
              <w:t>The CBR processing time is given by UE capability according to the following table</w:t>
            </w:r>
          </w:p>
          <w:tbl>
            <w:tblPr>
              <w:tblW w:w="5228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2"/>
              <w:gridCol w:w="2220"/>
              <w:gridCol w:w="2646"/>
            </w:tblGrid>
            <w:tr w:rsidR="00586E8C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sz w:val="20"/>
                    </w:rPr>
                  </w:pPr>
                  <w:r>
                    <w:rPr>
                      <w:rStyle w:val="Strong"/>
                      <w:b w:val="0"/>
                      <w:bCs w:val="0"/>
                      <w:color w:val="000000"/>
                      <w:sz w:val="20"/>
                    </w:rPr>
                    <w:t xml:space="preserve">µ 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Congestion process time 1 (slots)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Congestion processing time 2 (slots)</w:t>
                  </w:r>
                </w:p>
              </w:tc>
            </w:tr>
            <w:tr w:rsidR="00586E8C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auto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</w:t>
                  </w:r>
                </w:p>
              </w:tc>
            </w:tr>
            <w:tr w:rsidR="00586E8C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auto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</w:t>
                  </w:r>
                </w:p>
              </w:tc>
            </w:tr>
            <w:tr w:rsidR="00586E8C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auto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</w:t>
                  </w:r>
                </w:p>
              </w:tc>
            </w:tr>
            <w:tr w:rsidR="00586E8C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auto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586E8C" w:rsidRDefault="00E732A3">
                  <w:pPr>
                    <w:pStyle w:val="NormalWeb"/>
                    <w:spacing w:before="120" w:after="120" w:line="171" w:lineRule="atLeast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16</w:t>
                  </w:r>
                </w:p>
              </w:tc>
            </w:tr>
          </w:tbl>
          <w:p w:rsidR="00586E8C" w:rsidRDefault="00E732A3" w:rsidP="00D67746">
            <w:pPr>
              <w:numPr>
                <w:ilvl w:val="0"/>
                <w:numId w:val="12"/>
              </w:numPr>
              <w:spacing w:after="120" w:line="280" w:lineRule="atLeast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A UE shall only apply a single CBR/CR processing time capability in SL.</w:t>
            </w:r>
          </w:p>
          <w:p w:rsidR="00586E8C" w:rsidRDefault="00E732A3" w:rsidP="00D67746">
            <w:pPr>
              <w:numPr>
                <w:ilvl w:val="0"/>
                <w:numId w:val="12"/>
              </w:numPr>
              <w:spacing w:after="120" w:line="280" w:lineRule="atLeast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CR processing time is the same as CBR processing time.</w:t>
            </w:r>
          </w:p>
          <w:p w:rsidR="00586E8C" w:rsidRDefault="00E732A3" w:rsidP="00D67746">
            <w:pPr>
              <w:spacing w:after="120" w:line="280" w:lineRule="atLeast"/>
              <w:rPr>
                <w:sz w:val="20"/>
              </w:rPr>
            </w:pPr>
            <w:r>
              <w:rPr>
                <w:b/>
                <w:bCs/>
                <w:sz w:val="20"/>
              </w:rPr>
              <w:t>Decision:</w:t>
            </w:r>
            <w:r>
              <w:rPr>
                <w:sz w:val="20"/>
              </w:rPr>
              <w:t xml:space="preserve"> As per email decision posted Mar. 4</w:t>
            </w:r>
            <w:r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  <w:highlight w:val="green"/>
              </w:rPr>
              <w:t>TPs (38.214, 38.215) in R1-2001294 are endorsed</w:t>
            </w:r>
            <w:r>
              <w:rPr>
                <w:sz w:val="20"/>
              </w:rPr>
              <w:t>.</w:t>
            </w:r>
          </w:p>
        </w:tc>
      </w:tr>
    </w:tbl>
    <w:p w:rsidR="00586E8C" w:rsidRDefault="00E732A3">
      <w:pPr>
        <w:spacing w:before="120" w:after="120"/>
      </w:pPr>
      <w:r>
        <w:rPr>
          <w:rFonts w:hint="eastAsia"/>
        </w:rPr>
        <w:lastRenderedPageBreak/>
        <w:t xml:space="preserve">Besides the issues </w:t>
      </w:r>
      <w:r>
        <w:t>solved</w:t>
      </w:r>
      <w:r>
        <w:rPr>
          <w:rFonts w:hint="eastAsia"/>
        </w:rPr>
        <w:t xml:space="preserve"> by above agreements, there are some remaining issues to be discussed.</w:t>
      </w:r>
    </w:p>
    <w:p w:rsidR="00586E8C" w:rsidRDefault="00E732A3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586E8C" w:rsidRDefault="00E732A3">
      <w:pPr>
        <w:pStyle w:val="Heading4"/>
        <w:numPr>
          <w:ilvl w:val="3"/>
          <w:numId w:val="0"/>
        </w:numPr>
        <w:ind w:right="210"/>
      </w:pPr>
      <w:r>
        <w:t xml:space="preserve">Issue 1: </w:t>
      </w:r>
      <w:r>
        <w:rPr>
          <w:rFonts w:hint="eastAsia"/>
        </w:rPr>
        <w:t>The</w:t>
      </w:r>
      <w:r>
        <w:t xml:space="preserve"> future window</w:t>
      </w:r>
      <w:r>
        <w:rPr>
          <w:rFonts w:hint="eastAsia"/>
        </w:rPr>
        <w:t xml:space="preserve"> for CR</w:t>
      </w:r>
    </w:p>
    <w:p w:rsidR="00586E8C" w:rsidRDefault="00E732A3">
      <w:pPr>
        <w:spacing w:before="120" w:after="120"/>
      </w:pPr>
      <w:r>
        <w:rPr>
          <w:rFonts w:hint="eastAsia"/>
        </w:rPr>
        <w:t xml:space="preserve">At last meeting, it is agreed that </w:t>
      </w:r>
      <w:r>
        <w:t xml:space="preserve">the parameter </w:t>
      </w:r>
      <w:r>
        <w:rPr>
          <w:lang w:eastAsia="ko-KR"/>
        </w:rPr>
        <w:t>b in the CR window is 0 or a positive integer</w:t>
      </w:r>
      <w:r>
        <w:rPr>
          <w:rFonts w:hint="eastAsia"/>
        </w:rPr>
        <w:t xml:space="preserve">, the future window for CR </w:t>
      </w:r>
      <w:r>
        <w:rPr>
          <w:lang w:eastAsia="ko-KR"/>
        </w:rPr>
        <w:t>n+b shall not exceed the last transmission opportunity of the grant for the current transmission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The common understanding is </w:t>
      </w:r>
      <w:r>
        <w:t xml:space="preserve">that </w:t>
      </w:r>
      <w:r>
        <w:rPr>
          <w:rFonts w:hint="eastAsia"/>
        </w:rPr>
        <w:t>the transmission opportunities of the grant for current transmission can be calculated in CR evaluation. In case of HARQ based retransmission, for the resources reserved by previous SCI but</w:t>
      </w:r>
      <w:r>
        <w:t xml:space="preserve"> then </w:t>
      </w:r>
      <w:r>
        <w:rPr>
          <w:rFonts w:hint="eastAsia"/>
        </w:rPr>
        <w:t>released due to ACK feedback, a</w:t>
      </w:r>
      <w:r>
        <w:t>n</w:t>
      </w:r>
      <w:r>
        <w:rPr>
          <w:rFonts w:hint="eastAsia"/>
        </w:rPr>
        <w:t xml:space="preserve"> unclear </w:t>
      </w:r>
      <w:r>
        <w:t>question</w:t>
      </w:r>
      <w:r>
        <w:rPr>
          <w:rFonts w:hint="eastAsia"/>
        </w:rPr>
        <w:t xml:space="preserve"> is whether </w:t>
      </w:r>
      <w:r>
        <w:t>the resource</w:t>
      </w:r>
      <w:r>
        <w:rPr>
          <w:rFonts w:hint="eastAsia"/>
        </w:rPr>
        <w:t xml:space="preserve"> should be counted in CR evaluation. If following another </w:t>
      </w:r>
      <w:r>
        <w:t xml:space="preserve">RAN1 </w:t>
      </w:r>
      <w:r>
        <w:rPr>
          <w:rFonts w:hint="eastAsia"/>
        </w:rPr>
        <w:t>agreement that UE evaluates CR and applies CR_limit for every (re)transmission, when ACK was received, the current grant should be released</w:t>
      </w:r>
      <w:r>
        <w:t>.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aturally, </w:t>
      </w:r>
      <w:r>
        <w:t>those resources</w:t>
      </w:r>
      <w:r>
        <w:rPr>
          <w:rFonts w:hint="eastAsia"/>
        </w:rPr>
        <w:t xml:space="preserve"> reserved by previous SCI but released due to ACK feedback should not be counted in CR evaluation.</w:t>
      </w:r>
    </w:p>
    <w:p w:rsidR="00586E8C" w:rsidRDefault="00E732A3">
      <w:pPr>
        <w:pStyle w:val="YJ-Observation"/>
        <w:spacing w:before="120" w:after="120"/>
        <w:rPr>
          <w:szCs w:val="22"/>
          <w:lang w:val="en-US" w:eastAsia="zh-CN"/>
        </w:rPr>
      </w:pPr>
      <w:bookmarkStart w:id="0" w:name="_Toc37414495"/>
      <w:r>
        <w:rPr>
          <w:rFonts w:hint="eastAsia"/>
          <w:szCs w:val="22"/>
          <w:lang w:val="en-US" w:eastAsia="zh-CN"/>
        </w:rPr>
        <w:t>The resources reserved by previous SCI but released due to ACK feedback are not counted in CR evaluation.</w:t>
      </w:r>
      <w:bookmarkEnd w:id="0"/>
    </w:p>
    <w:p w:rsidR="00586E8C" w:rsidRDefault="00586E8C">
      <w:pPr>
        <w:spacing w:before="120" w:after="120"/>
      </w:pPr>
    </w:p>
    <w:p w:rsidR="00586E8C" w:rsidRDefault="00E732A3">
      <w:pPr>
        <w:pStyle w:val="Heading4"/>
        <w:numPr>
          <w:ilvl w:val="3"/>
          <w:numId w:val="0"/>
        </w:numPr>
        <w:ind w:right="210"/>
      </w:pPr>
      <w:r>
        <w:t xml:space="preserve">Issue </w:t>
      </w:r>
      <w:r>
        <w:rPr>
          <w:rFonts w:hint="eastAsia"/>
        </w:rPr>
        <w:t>2</w:t>
      </w:r>
      <w:r>
        <w:t>: TX Power restriction based on speed?</w:t>
      </w:r>
    </w:p>
    <w:p w:rsidR="00586E8C" w:rsidRDefault="00E732A3">
      <w:pPr>
        <w:spacing w:before="120" w:after="120"/>
      </w:pPr>
      <w:r>
        <w:rPr>
          <w:rFonts w:hint="eastAsia"/>
        </w:rPr>
        <w:t>At RAN1#98bis, the following agreement was reached[2]:</w:t>
      </w:r>
    </w:p>
    <w:p w:rsidR="00586E8C" w:rsidRDefault="00E732A3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i/>
          <w:iCs/>
          <w:sz w:val="20"/>
        </w:rPr>
        <w:t>:</w:t>
      </w:r>
    </w:p>
    <w:p w:rsidR="00586E8C" w:rsidRDefault="00E732A3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Congestion control can restrict the values of at least the following PSSCH/PSCCH TX parameters per resource pool: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Range of MCS for a given MCS table supported within the resource pool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Range of number of sub-channels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Upper bound of number of (re)transmissions – already agreed in mode 2 AI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Upper bound of TX power (including zero TX power)</w:t>
      </w:r>
    </w:p>
    <w:p w:rsidR="00586E8C" w:rsidRDefault="00E732A3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Congestion control can set an upper bound on channel occupancy ratio (CR), CR</w:t>
      </w:r>
      <w:r>
        <w:rPr>
          <w:i/>
          <w:iCs/>
          <w:sz w:val="20"/>
          <w:vertAlign w:val="subscript"/>
        </w:rPr>
        <w:t>limit</w:t>
      </w:r>
      <w:r>
        <w:rPr>
          <w:i/>
          <w:iCs/>
          <w:sz w:val="20"/>
        </w:rPr>
        <w:t>.</w:t>
      </w:r>
    </w:p>
    <w:p w:rsidR="00586E8C" w:rsidRDefault="00E732A3">
      <w:pPr>
        <w:numPr>
          <w:ilvl w:val="0"/>
          <w:numId w:val="13"/>
        </w:numPr>
        <w:spacing w:before="120" w:after="120"/>
        <w:rPr>
          <w:i/>
          <w:iCs/>
          <w:sz w:val="20"/>
          <w:lang w:eastAsia="ko-KR"/>
        </w:rPr>
      </w:pPr>
      <w:r>
        <w:rPr>
          <w:i/>
          <w:iCs/>
          <w:sz w:val="20"/>
          <w:lang w:eastAsia="ko-KR"/>
        </w:rPr>
        <w:t xml:space="preserve">Ranges/bounds of the transmission parameters and </w:t>
      </w:r>
      <w:r>
        <w:rPr>
          <w:i/>
          <w:iCs/>
          <w:sz w:val="20"/>
        </w:rPr>
        <w:t>CR</w:t>
      </w:r>
      <w:r>
        <w:rPr>
          <w:i/>
          <w:iCs/>
          <w:sz w:val="20"/>
          <w:vertAlign w:val="subscript"/>
        </w:rPr>
        <w:t>limit</w:t>
      </w:r>
      <w:r>
        <w:rPr>
          <w:i/>
          <w:iCs/>
          <w:sz w:val="20"/>
          <w:lang w:eastAsia="ko-KR"/>
        </w:rPr>
        <w:t xml:space="preserve"> are functions of QoS and CBR.</w:t>
      </w:r>
    </w:p>
    <w:p w:rsidR="00586E8C" w:rsidRDefault="00E732A3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In addition to congestion control (in use or not in use), the above parameters can be restricted by reusing the same mechanism as in LTE</w:t>
      </w:r>
    </w:p>
    <w:p w:rsidR="00586E8C" w:rsidRDefault="00E732A3">
      <w:pPr>
        <w:numPr>
          <w:ilvl w:val="1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For speed, further discussion on absolute vs. relative speed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FFS other parameter(s) that can be restricted </w:t>
      </w:r>
    </w:p>
    <w:p w:rsidR="00586E8C" w:rsidRDefault="00E732A3">
      <w:pPr>
        <w:pStyle w:val="ListParagraph"/>
        <w:numPr>
          <w:ilvl w:val="1"/>
          <w:numId w:val="13"/>
        </w:numPr>
        <w:spacing w:after="12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FFS whether or not to tie the speed with a UE capability</w:t>
      </w:r>
    </w:p>
    <w:p w:rsidR="00586E8C" w:rsidRDefault="00E732A3">
      <w:pPr>
        <w:spacing w:before="120" w:after="120"/>
      </w:pPr>
      <w:r>
        <w:rPr>
          <w:rFonts w:hint="eastAsia"/>
        </w:rPr>
        <w:t>Then during the email discussion after RAN1 #99, the following agreement was achieved:</w:t>
      </w:r>
    </w:p>
    <w:p w:rsidR="00586E8C" w:rsidRDefault="00E732A3">
      <w:pPr>
        <w:spacing w:before="120" w:after="120"/>
        <w:rPr>
          <w:rFonts w:ascii="Times" w:hAnsi="Times"/>
          <w:bCs/>
          <w:i/>
          <w:iCs/>
          <w:kern w:val="0"/>
        </w:rPr>
      </w:pPr>
      <w:r>
        <w:rPr>
          <w:rFonts w:ascii="Times" w:hAnsi="Times"/>
          <w:bCs/>
          <w:i/>
          <w:iCs/>
          <w:kern w:val="0"/>
          <w:highlight w:val="green"/>
        </w:rPr>
        <w:t>Agreements:</w:t>
      </w:r>
    </w:p>
    <w:p w:rsidR="00586E8C" w:rsidRDefault="00E732A3">
      <w:pPr>
        <w:numPr>
          <w:ilvl w:val="0"/>
          <w:numId w:val="14"/>
        </w:numPr>
        <w:spacing w:before="120" w:beforeAutospacing="1" w:after="120" w:afterAutospacing="1"/>
        <w:ind w:right="150"/>
        <w:jc w:val="left"/>
        <w:rPr>
          <w:rFonts w:ascii="Times" w:hAnsi="Times"/>
          <w:bCs/>
          <w:i/>
          <w:iCs/>
          <w:kern w:val="0"/>
        </w:rPr>
      </w:pPr>
      <w:r>
        <w:rPr>
          <w:rFonts w:ascii="Times" w:hAnsi="Times"/>
          <w:bCs/>
          <w:i/>
          <w:iCs/>
          <w:kern w:val="0"/>
        </w:rPr>
        <w:t>Only TX parameter restriction based on absolute speed can be (pre)configured in Rel-16.</w:t>
      </w:r>
    </w:p>
    <w:p w:rsidR="00586E8C" w:rsidRDefault="00E732A3">
      <w:pPr>
        <w:spacing w:before="120" w:after="120"/>
      </w:pPr>
      <w:r>
        <w:rPr>
          <w:rFonts w:hint="eastAsia"/>
        </w:rPr>
        <w:t xml:space="preserve">Based on above two agreements, </w:t>
      </w:r>
      <w:r>
        <w:t>one</w:t>
      </w:r>
      <w:r>
        <w:rPr>
          <w:rFonts w:hint="eastAsia"/>
        </w:rPr>
        <w:t xml:space="preserve"> issue </w:t>
      </w:r>
      <w:r>
        <w:t xml:space="preserve">should be clarified </w:t>
      </w:r>
      <w:r>
        <w:rPr>
          <w:rFonts w:hint="eastAsia"/>
        </w:rPr>
        <w:t xml:space="preserve">whether the parameter upper bound of Tx power can be restricted by absolute speed. If following the same mechanism in LTE as agreed in the </w:t>
      </w:r>
      <w:r>
        <w:t>4</w:t>
      </w:r>
      <w:r>
        <w:rPr>
          <w:vertAlign w:val="superscript"/>
        </w:rPr>
        <w:t>th</w:t>
      </w:r>
      <w:r>
        <w:t xml:space="preserve"> bullet of the </w:t>
      </w:r>
      <w:r>
        <w:rPr>
          <w:rFonts w:hint="eastAsia"/>
        </w:rPr>
        <w:t xml:space="preserve">first </w:t>
      </w:r>
      <w:r>
        <w:rPr>
          <w:rFonts w:hint="eastAsia"/>
        </w:rPr>
        <w:lastRenderedPageBreak/>
        <w:t>agreement above, it is not supported to</w:t>
      </w:r>
      <w:r>
        <w:rPr>
          <w:lang w:eastAsia="en-GB"/>
        </w:rPr>
        <w:t xml:space="preserve"> restrict TX power based on</w:t>
      </w:r>
      <w:r>
        <w:rPr>
          <w:rFonts w:hint="eastAsia"/>
        </w:rPr>
        <w:t xml:space="preserve"> absolute</w:t>
      </w:r>
      <w:r>
        <w:rPr>
          <w:lang w:eastAsia="en-GB"/>
        </w:rPr>
        <w:t xml:space="preserve"> speed</w:t>
      </w:r>
      <w:r>
        <w:rPr>
          <w:rFonts w:hint="eastAsia"/>
        </w:rPr>
        <w:t xml:space="preserve">[3]. For the Tx power restriction, </w:t>
      </w:r>
      <w:r>
        <w:t>RAN1</w:t>
      </w:r>
      <w:r>
        <w:rPr>
          <w:rFonts w:hint="eastAsia"/>
        </w:rPr>
        <w:t xml:space="preserve"> </w:t>
      </w:r>
      <w:r>
        <w:t xml:space="preserve">specification </w:t>
      </w:r>
      <w:r>
        <w:rPr>
          <w:rFonts w:hint="eastAsia"/>
        </w:rPr>
        <w:t>ha</w:t>
      </w:r>
      <w:r>
        <w:t>s</w:t>
      </w:r>
      <w:r>
        <w:rPr>
          <w:rFonts w:hint="eastAsia"/>
        </w:rPr>
        <w:t xml:space="preserve"> introduced the power control mechanism, and we don</w:t>
      </w:r>
      <w:r>
        <w:t>’</w:t>
      </w:r>
      <w:r>
        <w:rPr>
          <w:rFonts w:hint="eastAsia"/>
        </w:rPr>
        <w:t xml:space="preserve">t think there is an inevitable </w:t>
      </w:r>
      <w:r>
        <w:t xml:space="preserve">bounding </w:t>
      </w:r>
      <w:r>
        <w:rPr>
          <w:rFonts w:hint="eastAsia"/>
        </w:rPr>
        <w:t>relationship between the Tx power and absolute speed. So we</w:t>
      </w:r>
      <w:r>
        <w:t>’</w:t>
      </w:r>
      <w:r>
        <w:rPr>
          <w:rFonts w:hint="eastAsia"/>
        </w:rPr>
        <w:t xml:space="preserve">d like to </w:t>
      </w:r>
      <w:r>
        <w:rPr>
          <w:lang w:eastAsia="en-GB"/>
        </w:rPr>
        <w:t>confirm that upper bound of sidelink TX power is not dependent on UE absolute speed.</w:t>
      </w:r>
    </w:p>
    <w:p w:rsidR="00586E8C" w:rsidRDefault="00E732A3">
      <w:pPr>
        <w:pStyle w:val="YJ-Proposal"/>
        <w:spacing w:before="120" w:after="120"/>
        <w:rPr>
          <w:szCs w:val="22"/>
          <w:lang w:val="en-US" w:eastAsia="zh-CN"/>
        </w:rPr>
      </w:pPr>
      <w:bookmarkStart w:id="1" w:name="_Toc37414498"/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en-GB"/>
        </w:rPr>
        <w:t>UE absolute speed</w:t>
      </w:r>
      <w:r>
        <w:rPr>
          <w:szCs w:val="22"/>
          <w:lang w:val="en-US" w:eastAsia="en-GB"/>
        </w:rPr>
        <w:t xml:space="preserve"> does not restrict the upper bound of Tx power on sidelink</w:t>
      </w:r>
      <w:r>
        <w:rPr>
          <w:rFonts w:hint="eastAsia"/>
          <w:szCs w:val="22"/>
          <w:lang w:val="en-US" w:eastAsia="en-GB"/>
        </w:rPr>
        <w:t>.</w:t>
      </w:r>
      <w:bookmarkEnd w:id="1"/>
    </w:p>
    <w:p w:rsidR="00586E8C" w:rsidRDefault="00E732A3">
      <w:pPr>
        <w:pStyle w:val="Heading4"/>
        <w:numPr>
          <w:ilvl w:val="3"/>
          <w:numId w:val="0"/>
        </w:numPr>
        <w:ind w:right="210"/>
      </w:pPr>
      <w:r>
        <w:t xml:space="preserve">Issue </w:t>
      </w:r>
      <w:r>
        <w:rPr>
          <w:rFonts w:hint="eastAsia"/>
        </w:rPr>
        <w:t>3</w:t>
      </w:r>
      <w:r>
        <w:t xml:space="preserve">: </w:t>
      </w:r>
      <w:r>
        <w:rPr>
          <w:rFonts w:hint="eastAsia"/>
        </w:rPr>
        <w:t>CBR report to gNB</w:t>
      </w:r>
    </w:p>
    <w:p w:rsidR="00586E8C" w:rsidRDefault="00E732A3">
      <w:pPr>
        <w:spacing w:before="120" w:after="120"/>
      </w:pPr>
      <w:r>
        <w:rPr>
          <w:rFonts w:hint="eastAsia"/>
        </w:rPr>
        <w:t>RAN1 #97 meeting</w:t>
      </w:r>
      <w:r>
        <w:t xml:space="preserve"> agreed following </w:t>
      </w:r>
      <w:r>
        <w:rPr>
          <w:rFonts w:hint="eastAsia"/>
        </w:rPr>
        <w:t>[4]:</w:t>
      </w:r>
    </w:p>
    <w:p w:rsidR="00586E8C" w:rsidRDefault="00E732A3">
      <w:pPr>
        <w:spacing w:before="120" w:after="120"/>
        <w:rPr>
          <w:i/>
          <w:iCs/>
        </w:rPr>
      </w:pPr>
      <w:r>
        <w:rPr>
          <w:i/>
          <w:iCs/>
          <w:highlight w:val="green"/>
        </w:rPr>
        <w:t>Agreements</w:t>
      </w:r>
      <w:r>
        <w:rPr>
          <w:i/>
          <w:iCs/>
        </w:rPr>
        <w:t>:</w:t>
      </w:r>
    </w:p>
    <w:p w:rsidR="00586E8C" w:rsidRDefault="00E732A3">
      <w:pPr>
        <w:numPr>
          <w:ilvl w:val="0"/>
          <w:numId w:val="15"/>
        </w:numPr>
        <w:spacing w:before="120" w:after="120"/>
        <w:rPr>
          <w:i/>
          <w:iCs/>
        </w:rPr>
      </w:pPr>
      <w:r>
        <w:rPr>
          <w:i/>
          <w:iCs/>
        </w:rPr>
        <w:t>Higher-layer reporting of CBR to the gNB is supported for RRC_CONNECTED UEs.</w:t>
      </w:r>
    </w:p>
    <w:p w:rsidR="00586E8C" w:rsidRDefault="00E732A3">
      <w:pPr>
        <w:spacing w:before="120" w:after="120"/>
      </w:pPr>
      <w:r>
        <w:rPr>
          <w:rFonts w:hint="eastAsia"/>
        </w:rPr>
        <w:t xml:space="preserve">In the agreement, one issue which needs to be clarified is </w:t>
      </w:r>
      <w:r>
        <w:t xml:space="preserve">whether </w:t>
      </w:r>
      <w:r>
        <w:rPr>
          <w:rFonts w:hint="eastAsia"/>
        </w:rPr>
        <w:t xml:space="preserve">the CBR here </w:t>
      </w:r>
      <w:r>
        <w:t>re</w:t>
      </w:r>
      <w:r>
        <w:rPr>
          <w:rFonts w:hint="eastAsia"/>
        </w:rPr>
        <w:t xml:space="preserve">fers to only NR SL-CBR or both NR </w:t>
      </w:r>
      <w:r>
        <w:t xml:space="preserve">SL-CBR </w:t>
      </w:r>
      <w:r>
        <w:rPr>
          <w:rFonts w:hint="eastAsia"/>
        </w:rPr>
        <w:t xml:space="preserve">and LTE SL-CBR. </w:t>
      </w:r>
      <w:r>
        <w:t>B</w:t>
      </w:r>
      <w:r>
        <w:rPr>
          <w:rFonts w:hint="eastAsia"/>
        </w:rPr>
        <w:t xml:space="preserve">esides reporting NR SL-CBR, reporting LTE SL-CBR to gNB is beneficial for NR Uu controlling LTE sidelink. </w:t>
      </w:r>
      <w:r>
        <w:t>Consequently</w:t>
      </w:r>
      <w:r w:rsidR="0089078D">
        <w:rPr>
          <w:rFonts w:hint="eastAsia"/>
        </w:rPr>
        <w:t xml:space="preserve"> </w:t>
      </w:r>
      <w:bookmarkStart w:id="2" w:name="_GoBack"/>
      <w:bookmarkEnd w:id="2"/>
      <w:r>
        <w:rPr>
          <w:rFonts w:hint="eastAsia"/>
        </w:rPr>
        <w:t>we give the following proposal:</w:t>
      </w:r>
    </w:p>
    <w:p w:rsidR="00586E8C" w:rsidRDefault="00E732A3">
      <w:pPr>
        <w:pStyle w:val="YJ-Proposal"/>
        <w:spacing w:before="120" w:after="120"/>
        <w:rPr>
          <w:szCs w:val="22"/>
          <w:lang w:val="en-US" w:eastAsia="zh-CN"/>
        </w:rPr>
      </w:pPr>
      <w:bookmarkStart w:id="3" w:name="_Toc37414499"/>
      <w:r>
        <w:rPr>
          <w:rFonts w:hint="eastAsia"/>
          <w:szCs w:val="22"/>
          <w:lang w:val="en-US" w:eastAsia="zh-CN"/>
        </w:rPr>
        <w:t>Both NR SL-CBR and LTE SL-CBR can be reported to the gNB for RRC_CONNECTED UEs.</w:t>
      </w:r>
      <w:bookmarkEnd w:id="3"/>
    </w:p>
    <w:p w:rsidR="00586E8C" w:rsidRDefault="00586E8C">
      <w:pPr>
        <w:spacing w:before="120" w:after="120"/>
      </w:pPr>
    </w:p>
    <w:p w:rsidR="00586E8C" w:rsidRDefault="00E732A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586E8C" w:rsidRDefault="00586E8C">
      <w:pPr>
        <w:spacing w:before="120" w:after="120"/>
        <w:rPr>
          <w:szCs w:val="22"/>
        </w:rPr>
      </w:pPr>
    </w:p>
    <w:p w:rsidR="00586E8C" w:rsidRDefault="00E732A3">
      <w:pPr>
        <w:spacing w:before="120" w:after="120"/>
        <w:rPr>
          <w:szCs w:val="22"/>
        </w:rPr>
      </w:pPr>
      <w:r>
        <w:rPr>
          <w:rFonts w:hint="eastAsia"/>
          <w:szCs w:val="22"/>
        </w:rPr>
        <w:t>Based on the discussion,</w:t>
      </w:r>
      <w:r>
        <w:rPr>
          <w:szCs w:val="22"/>
        </w:rPr>
        <w:t xml:space="preserve"> </w:t>
      </w:r>
      <w:r>
        <w:rPr>
          <w:rFonts w:hint="eastAsia"/>
          <w:szCs w:val="22"/>
        </w:rPr>
        <w:t>the following observation and proposal</w:t>
      </w:r>
      <w:r>
        <w:rPr>
          <w:szCs w:val="22"/>
        </w:rPr>
        <w:t>s</w:t>
      </w:r>
      <w:r>
        <w:rPr>
          <w:rFonts w:hint="eastAsia"/>
          <w:szCs w:val="22"/>
        </w:rPr>
        <w:t xml:space="preserve"> are given:</w:t>
      </w:r>
    </w:p>
    <w:p w:rsidR="00D67746" w:rsidRDefault="00CA042D" w:rsidP="000F6CA3">
      <w:pPr>
        <w:pStyle w:val="TOC1"/>
        <w:tabs>
          <w:tab w:val="left" w:pos="154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CA042D">
        <w:rPr>
          <w:sz w:val="21"/>
          <w:szCs w:val="22"/>
        </w:rPr>
        <w:fldChar w:fldCharType="begin"/>
      </w:r>
      <w:r w:rsidR="00E732A3">
        <w:rPr>
          <w:sz w:val="21"/>
          <w:szCs w:val="22"/>
        </w:rPr>
        <w:instrText>TOC \n  \t "YJ-Observation,1,sub-observation,2,3rd level observation,3" \h</w:instrText>
      </w:r>
      <w:r w:rsidRPr="00CA042D">
        <w:rPr>
          <w:sz w:val="21"/>
          <w:szCs w:val="22"/>
        </w:rPr>
        <w:fldChar w:fldCharType="separate"/>
      </w:r>
      <w:hyperlink w:anchor="_Toc37414495" w:history="1">
        <w:r w:rsidR="00D67746" w:rsidRPr="000F6CA3">
          <w:rPr>
            <w:rStyle w:val="Hyperlink"/>
            <w:rFonts w:eastAsia="SimSun"/>
            <w:noProof/>
          </w:rPr>
          <w:t>Observation 1:</w:t>
        </w:r>
        <w:r w:rsidR="00D67746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D67746" w:rsidRPr="000F6CA3">
          <w:rPr>
            <w:rStyle w:val="Hyperlink"/>
            <w:noProof/>
          </w:rPr>
          <w:t>The resources reserved by previous SCI but released due to ACK feedback are not counted in CR evaluation.</w:t>
        </w:r>
      </w:hyperlink>
    </w:p>
    <w:p w:rsidR="00586E8C" w:rsidRDefault="00CA042D">
      <w:pPr>
        <w:spacing w:before="120" w:after="120"/>
      </w:pPr>
      <w:r>
        <w:rPr>
          <w:szCs w:val="22"/>
        </w:rPr>
        <w:fldChar w:fldCharType="end"/>
      </w:r>
    </w:p>
    <w:p w:rsidR="00D67746" w:rsidRDefault="00CA042D" w:rsidP="00F42F4C">
      <w:pPr>
        <w:pStyle w:val="TOC1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CA042D">
        <w:fldChar w:fldCharType="begin"/>
      </w:r>
      <w:r w:rsidR="00E732A3">
        <w:instrText>TOC \n  \t "YJ-Proposal,1,sub-proposal,2,3rd level proposal,3" \h</w:instrText>
      </w:r>
      <w:r w:rsidRPr="00CA042D">
        <w:fldChar w:fldCharType="separate"/>
      </w:r>
      <w:hyperlink w:anchor="_Toc37414498" w:history="1">
        <w:r w:rsidR="00D67746" w:rsidRPr="00F42F4C">
          <w:rPr>
            <w:rStyle w:val="Hyperlink"/>
            <w:rFonts w:eastAsia="SimSun"/>
            <w:noProof/>
          </w:rPr>
          <w:t>Proposal 1:</w:t>
        </w:r>
        <w:r w:rsidR="00D67746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D67746" w:rsidRPr="00F42F4C">
          <w:rPr>
            <w:rStyle w:val="Hyperlink"/>
            <w:noProof/>
          </w:rPr>
          <w:t xml:space="preserve">The </w:t>
        </w:r>
        <w:r w:rsidR="00D67746" w:rsidRPr="00F42F4C">
          <w:rPr>
            <w:rStyle w:val="Hyperlink"/>
            <w:noProof/>
            <w:lang w:eastAsia="en-GB"/>
          </w:rPr>
          <w:t>UE absolute speed does not restrict the upper bound of Tx power on sidelink.</w:t>
        </w:r>
      </w:hyperlink>
    </w:p>
    <w:p w:rsidR="00D67746" w:rsidRDefault="00D67746" w:rsidP="00F42F4C">
      <w:pPr>
        <w:pStyle w:val="TOC1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37414499" w:history="1">
        <w:r w:rsidRPr="00F42F4C">
          <w:rPr>
            <w:rStyle w:val="Hyperlink"/>
            <w:rFonts w:eastAsia="SimSun"/>
            <w:noProof/>
          </w:rPr>
          <w:t>Proposal 2: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F42F4C">
          <w:rPr>
            <w:rStyle w:val="Hyperlink"/>
            <w:noProof/>
          </w:rPr>
          <w:t>Both NR SL-CBR and LTE SL-CBR can be reported to the gNB for RRC_CONNECTED UEs.</w:t>
        </w:r>
      </w:hyperlink>
    </w:p>
    <w:p w:rsidR="00586E8C" w:rsidRDefault="00CA042D">
      <w:pPr>
        <w:spacing w:before="120" w:after="120"/>
      </w:pPr>
      <w:r>
        <w:fldChar w:fldCharType="end"/>
      </w:r>
    </w:p>
    <w:p w:rsidR="00586E8C" w:rsidRDefault="00E732A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586E8C" w:rsidRDefault="00E732A3">
      <w:pPr>
        <w:pStyle w:val="References"/>
        <w:spacing w:before="120" w:after="120"/>
        <w:ind w:left="363" w:hanging="363"/>
        <w:rPr>
          <w:szCs w:val="20"/>
        </w:rPr>
      </w:pPr>
      <w:bookmarkStart w:id="4" w:name="_Ref17466"/>
      <w:r>
        <w:rPr>
          <w:rFonts w:hint="eastAsia"/>
          <w:szCs w:val="20"/>
        </w:rPr>
        <w:t>Draft Report of 3GPP TSG RAN WG1 #100-e v0.2.0, Online meeting, 24th February - 6th March 2020</w:t>
      </w:r>
    </w:p>
    <w:p w:rsidR="00586E8C" w:rsidRDefault="00E732A3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t>Chairman</w:t>
      </w:r>
      <w:r>
        <w:rPr>
          <w:szCs w:val="20"/>
        </w:rPr>
        <w:t>’</w:t>
      </w:r>
      <w:r>
        <w:rPr>
          <w:rFonts w:hint="eastAsia"/>
          <w:szCs w:val="20"/>
        </w:rPr>
        <w:t>s notes, 3GPP TSG RAN WG1 #98bis, October 14th</w:t>
      </w:r>
      <w:r>
        <w:rPr>
          <w:rFonts w:hint="eastAsia"/>
          <w:szCs w:val="20"/>
        </w:rPr>
        <w:t>–</w:t>
      </w:r>
      <w:r>
        <w:rPr>
          <w:rFonts w:hint="eastAsia"/>
          <w:szCs w:val="20"/>
        </w:rPr>
        <w:t>20th, 2019</w:t>
      </w:r>
    </w:p>
    <w:p w:rsidR="00586E8C" w:rsidRDefault="00E732A3">
      <w:pPr>
        <w:pStyle w:val="References"/>
        <w:spacing w:before="120" w:after="120"/>
        <w:rPr>
          <w:szCs w:val="20"/>
        </w:rPr>
      </w:pPr>
      <w:r>
        <w:rPr>
          <w:rFonts w:hint="eastAsia"/>
          <w:szCs w:val="20"/>
        </w:rPr>
        <w:t>36.331-f60, 3GPP.</w:t>
      </w:r>
    </w:p>
    <w:p w:rsidR="00586E8C" w:rsidRDefault="00E732A3">
      <w:pPr>
        <w:pStyle w:val="References"/>
        <w:spacing w:before="120" w:after="120"/>
        <w:ind w:left="363" w:hanging="363"/>
        <w:rPr>
          <w:szCs w:val="20"/>
        </w:rPr>
      </w:pPr>
      <w:r>
        <w:rPr>
          <w:rFonts w:hint="eastAsia"/>
          <w:szCs w:val="20"/>
        </w:rPr>
        <w:t>Chairman</w:t>
      </w:r>
      <w:r>
        <w:rPr>
          <w:szCs w:val="20"/>
        </w:rPr>
        <w:t>’</w:t>
      </w:r>
      <w:r>
        <w:rPr>
          <w:rFonts w:hint="eastAsia"/>
          <w:szCs w:val="20"/>
        </w:rPr>
        <w:t>s notes, 3GPP TSG RAN WG1 #97, May13th</w:t>
      </w:r>
      <w:r>
        <w:rPr>
          <w:rFonts w:hint="eastAsia"/>
          <w:szCs w:val="20"/>
        </w:rPr>
        <w:t>–</w:t>
      </w:r>
      <w:r>
        <w:rPr>
          <w:rFonts w:hint="eastAsia"/>
          <w:szCs w:val="20"/>
        </w:rPr>
        <w:t>17th, 2019</w:t>
      </w:r>
    </w:p>
    <w:bookmarkEnd w:id="4"/>
    <w:p w:rsidR="00586E8C" w:rsidRDefault="00586E8C">
      <w:pPr>
        <w:spacing w:beforeLines="0" w:afterLines="0"/>
        <w:jc w:val="left"/>
      </w:pPr>
    </w:p>
    <w:sectPr w:rsidR="00586E8C" w:rsidSect="00CA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2A3" w:rsidRDefault="00E732A3">
      <w:pPr>
        <w:spacing w:before="120" w:after="120" w:line="240" w:lineRule="auto"/>
      </w:pPr>
      <w:r>
        <w:separator/>
      </w:r>
    </w:p>
  </w:endnote>
  <w:endnote w:type="continuationSeparator" w:id="0">
    <w:p w:rsidR="00E732A3" w:rsidRDefault="00E732A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C" w:rsidRDefault="00586E8C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5826"/>
      <w:docPartObj>
        <w:docPartGallery w:val="AutoText"/>
      </w:docPartObj>
    </w:sdtPr>
    <w:sdtContent>
      <w:p w:rsidR="00586E8C" w:rsidRDefault="00CA042D">
        <w:pPr>
          <w:pStyle w:val="Footer"/>
          <w:spacing w:before="120" w:after="120"/>
          <w:jc w:val="center"/>
        </w:pPr>
        <w:r>
          <w:fldChar w:fldCharType="begin"/>
        </w:r>
        <w:r w:rsidR="00E732A3">
          <w:instrText xml:space="preserve"> PAGE   \* MERGEFORMAT </w:instrText>
        </w:r>
        <w:r>
          <w:fldChar w:fldCharType="separate"/>
        </w:r>
        <w:r w:rsidR="002B1290">
          <w:rPr>
            <w:noProof/>
          </w:rPr>
          <w:t>1</w:t>
        </w:r>
        <w:r>
          <w:fldChar w:fldCharType="end"/>
        </w:r>
      </w:p>
    </w:sdtContent>
  </w:sdt>
  <w:p w:rsidR="00586E8C" w:rsidRDefault="00586E8C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C" w:rsidRDefault="00586E8C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2A3" w:rsidRDefault="00E732A3">
      <w:pPr>
        <w:spacing w:before="120" w:after="120" w:line="240" w:lineRule="auto"/>
      </w:pPr>
      <w:r>
        <w:separator/>
      </w:r>
    </w:p>
  </w:footnote>
  <w:footnote w:type="continuationSeparator" w:id="0">
    <w:p w:rsidR="00E732A3" w:rsidRDefault="00E732A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C" w:rsidRDefault="00586E8C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C" w:rsidRDefault="00586E8C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E8C" w:rsidRDefault="00586E8C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E519FC85"/>
    <w:multiLevelType w:val="multilevel"/>
    <w:tmpl w:val="E519FC85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E964790"/>
    <w:multiLevelType w:val="multilevel"/>
    <w:tmpl w:val="0E9647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3743A"/>
    <w:multiLevelType w:val="multilevel"/>
    <w:tmpl w:val="208374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1E52B9"/>
    <w:multiLevelType w:val="multilevel"/>
    <w:tmpl w:val="271E52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8">
    <w:nsid w:val="34E33345"/>
    <w:multiLevelType w:val="multilevel"/>
    <w:tmpl w:val="34E333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2">
    <w:nsid w:val="53F53295"/>
    <w:multiLevelType w:val="multilevel"/>
    <w:tmpl w:val="53F5329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7A04D5B"/>
    <w:multiLevelType w:val="multilevel"/>
    <w:tmpl w:val="57A04D5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3D3043"/>
    <w:multiLevelType w:val="multilevel"/>
    <w:tmpl w:val="7E3D30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11"/>
  </w:num>
  <w:num w:numId="9">
    <w:abstractNumId w:val="8"/>
  </w:num>
  <w:num w:numId="10">
    <w:abstractNumId w:val="6"/>
  </w:num>
  <w:num w:numId="11">
    <w:abstractNumId w:val="12"/>
  </w:num>
  <w:num w:numId="12">
    <w:abstractNumId w:val="5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B1290"/>
    <w:rsid w:val="002D6D9B"/>
    <w:rsid w:val="00586E8C"/>
    <w:rsid w:val="005B065E"/>
    <w:rsid w:val="005C31CD"/>
    <w:rsid w:val="005E6658"/>
    <w:rsid w:val="0089078D"/>
    <w:rsid w:val="0096044C"/>
    <w:rsid w:val="00C01CDD"/>
    <w:rsid w:val="00CA042D"/>
    <w:rsid w:val="00D67746"/>
    <w:rsid w:val="00E732A3"/>
    <w:rsid w:val="00FD2DE4"/>
    <w:rsid w:val="015C1845"/>
    <w:rsid w:val="01764F01"/>
    <w:rsid w:val="024D6B6A"/>
    <w:rsid w:val="028E3A14"/>
    <w:rsid w:val="029B04E7"/>
    <w:rsid w:val="03073BDC"/>
    <w:rsid w:val="033F44DC"/>
    <w:rsid w:val="0555228E"/>
    <w:rsid w:val="059D1E39"/>
    <w:rsid w:val="05E078B3"/>
    <w:rsid w:val="05F0421F"/>
    <w:rsid w:val="068F1882"/>
    <w:rsid w:val="077D0583"/>
    <w:rsid w:val="079724D0"/>
    <w:rsid w:val="082A352F"/>
    <w:rsid w:val="08C349D1"/>
    <w:rsid w:val="09F67CD5"/>
    <w:rsid w:val="0B9E71DF"/>
    <w:rsid w:val="0C9D30C2"/>
    <w:rsid w:val="0E172BD0"/>
    <w:rsid w:val="0F0E5CA1"/>
    <w:rsid w:val="10350DB9"/>
    <w:rsid w:val="10A50104"/>
    <w:rsid w:val="119D7849"/>
    <w:rsid w:val="1242135C"/>
    <w:rsid w:val="13A1683F"/>
    <w:rsid w:val="13FC6EDB"/>
    <w:rsid w:val="14DA3DA1"/>
    <w:rsid w:val="17155857"/>
    <w:rsid w:val="17950508"/>
    <w:rsid w:val="19010C43"/>
    <w:rsid w:val="19084C73"/>
    <w:rsid w:val="1A054259"/>
    <w:rsid w:val="1B7F6005"/>
    <w:rsid w:val="1C132CB9"/>
    <w:rsid w:val="1CCC26CA"/>
    <w:rsid w:val="1E9D6342"/>
    <w:rsid w:val="1F5F4145"/>
    <w:rsid w:val="1FFF1D98"/>
    <w:rsid w:val="204E6676"/>
    <w:rsid w:val="2195668B"/>
    <w:rsid w:val="21BE5AD4"/>
    <w:rsid w:val="2366744D"/>
    <w:rsid w:val="23F51F7C"/>
    <w:rsid w:val="245C52F8"/>
    <w:rsid w:val="2463385E"/>
    <w:rsid w:val="25134332"/>
    <w:rsid w:val="257E508F"/>
    <w:rsid w:val="26766DA2"/>
    <w:rsid w:val="27AB7429"/>
    <w:rsid w:val="281E2868"/>
    <w:rsid w:val="285C053E"/>
    <w:rsid w:val="29FA7F26"/>
    <w:rsid w:val="2B774832"/>
    <w:rsid w:val="2CB47BAD"/>
    <w:rsid w:val="2F1251F2"/>
    <w:rsid w:val="303979EB"/>
    <w:rsid w:val="30962F3E"/>
    <w:rsid w:val="30D17E68"/>
    <w:rsid w:val="30FF2795"/>
    <w:rsid w:val="323B211E"/>
    <w:rsid w:val="329A6ACE"/>
    <w:rsid w:val="34CD56EA"/>
    <w:rsid w:val="360B1D73"/>
    <w:rsid w:val="361F3323"/>
    <w:rsid w:val="36E93760"/>
    <w:rsid w:val="3784394E"/>
    <w:rsid w:val="37FD2D5C"/>
    <w:rsid w:val="38AE3BB0"/>
    <w:rsid w:val="3A9B1755"/>
    <w:rsid w:val="3ACB5746"/>
    <w:rsid w:val="3BB20883"/>
    <w:rsid w:val="3E441C7D"/>
    <w:rsid w:val="3F1E37DF"/>
    <w:rsid w:val="3FC956FF"/>
    <w:rsid w:val="40A36A71"/>
    <w:rsid w:val="41D3631F"/>
    <w:rsid w:val="41F466FD"/>
    <w:rsid w:val="42A67A24"/>
    <w:rsid w:val="42B162B7"/>
    <w:rsid w:val="42D846B9"/>
    <w:rsid w:val="440D5045"/>
    <w:rsid w:val="45BE6191"/>
    <w:rsid w:val="460C5979"/>
    <w:rsid w:val="47697C44"/>
    <w:rsid w:val="47C01792"/>
    <w:rsid w:val="4808150F"/>
    <w:rsid w:val="49E9233D"/>
    <w:rsid w:val="4AAD1944"/>
    <w:rsid w:val="4AC31003"/>
    <w:rsid w:val="4AE93159"/>
    <w:rsid w:val="4B0F72AD"/>
    <w:rsid w:val="4BD0339A"/>
    <w:rsid w:val="4D462159"/>
    <w:rsid w:val="4D5C5FAC"/>
    <w:rsid w:val="4DC605B6"/>
    <w:rsid w:val="4DEC0985"/>
    <w:rsid w:val="4E27683A"/>
    <w:rsid w:val="4F2765B1"/>
    <w:rsid w:val="4F285975"/>
    <w:rsid w:val="51867298"/>
    <w:rsid w:val="52195EDF"/>
    <w:rsid w:val="52313387"/>
    <w:rsid w:val="52576EA7"/>
    <w:rsid w:val="52E04D27"/>
    <w:rsid w:val="539A390F"/>
    <w:rsid w:val="53DB3477"/>
    <w:rsid w:val="54747B21"/>
    <w:rsid w:val="54AF6B42"/>
    <w:rsid w:val="55DD6F2A"/>
    <w:rsid w:val="55EC100F"/>
    <w:rsid w:val="56E23970"/>
    <w:rsid w:val="578F220A"/>
    <w:rsid w:val="57FC07D9"/>
    <w:rsid w:val="58500F22"/>
    <w:rsid w:val="591C0009"/>
    <w:rsid w:val="5ACF0F3A"/>
    <w:rsid w:val="5C0F406C"/>
    <w:rsid w:val="5C6B1600"/>
    <w:rsid w:val="5C921AD0"/>
    <w:rsid w:val="5DFD51DB"/>
    <w:rsid w:val="5E0D36E5"/>
    <w:rsid w:val="607C3753"/>
    <w:rsid w:val="60C30855"/>
    <w:rsid w:val="61392FAD"/>
    <w:rsid w:val="61421EFD"/>
    <w:rsid w:val="615C5041"/>
    <w:rsid w:val="62AE6C0F"/>
    <w:rsid w:val="645D477E"/>
    <w:rsid w:val="664805B8"/>
    <w:rsid w:val="668F03D0"/>
    <w:rsid w:val="67BF67D1"/>
    <w:rsid w:val="690F418B"/>
    <w:rsid w:val="6A7A2736"/>
    <w:rsid w:val="6A7B4B9C"/>
    <w:rsid w:val="6ACE1DA9"/>
    <w:rsid w:val="6AD27C0F"/>
    <w:rsid w:val="6C89456C"/>
    <w:rsid w:val="6D89317F"/>
    <w:rsid w:val="6E4E4C63"/>
    <w:rsid w:val="6FA629D4"/>
    <w:rsid w:val="70BB2EF0"/>
    <w:rsid w:val="71847F78"/>
    <w:rsid w:val="73D425F7"/>
    <w:rsid w:val="74084DDD"/>
    <w:rsid w:val="750A2023"/>
    <w:rsid w:val="7676736A"/>
    <w:rsid w:val="76933951"/>
    <w:rsid w:val="771D661B"/>
    <w:rsid w:val="78782A0D"/>
    <w:rsid w:val="79687524"/>
    <w:rsid w:val="79A2171F"/>
    <w:rsid w:val="79A252FF"/>
    <w:rsid w:val="79D33056"/>
    <w:rsid w:val="7C26369C"/>
    <w:rsid w:val="7C9E5A24"/>
    <w:rsid w:val="7D62117D"/>
    <w:rsid w:val="7DD34071"/>
    <w:rsid w:val="7E3E1EF2"/>
    <w:rsid w:val="7E951513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toc 1" w:semiHidden="0" w:uiPriority="39" w:qFormat="1"/>
    <w:lsdException w:name="toc 2" w:qFormat="1"/>
    <w:lsdException w:name="toc 3" w:semiHidden="0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Title" w:semiHidden="0" w:unhideWhenUsed="0"/>
    <w:lsdException w:name="Default Paragraph Font" w:uiPriority="1"/>
    <w:lsdException w:name="Subtitle" w:semiHidden="0" w:unhideWhenUsed="0"/>
    <w:lsdException w:name="Hyperlink" w:semiHidden="0" w:qFormat="1"/>
    <w:lsdException w:name="Strong" w:semiHidden="0" w:uiPriority="22" w:unhideWhenUsed="0" w:qFormat="1"/>
    <w:lsdException w:name="Emphasis" w:semiHidden="0" w:unhideWhenUsed="0"/>
    <w:lsdException w:name="Document Map" w:qFormat="1"/>
    <w:lsdException w:name="Normal (Web)" w:uiPriority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2D"/>
    <w:pPr>
      <w:spacing w:beforeLines="50" w:afterLines="50" w:line="276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CA042D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CA042D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CA042D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9"/>
    <w:semiHidden/>
    <w:unhideWhenUsed/>
    <w:qFormat/>
    <w:rsid w:val="00CA042D"/>
    <w:pPr>
      <w:numPr>
        <w:ilvl w:val="3"/>
        <w:numId w:val="2"/>
      </w:numPr>
      <w:spacing w:beforeLines="0" w:afterLines="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CA04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qFormat/>
    <w:rsid w:val="00CA042D"/>
    <w:pPr>
      <w:jc w:val="left"/>
    </w:pPr>
  </w:style>
  <w:style w:type="paragraph" w:styleId="TOC3">
    <w:name w:val="toc 3"/>
    <w:basedOn w:val="Normal"/>
    <w:next w:val="Normal"/>
    <w:uiPriority w:val="99"/>
    <w:unhideWhenUsed/>
    <w:qFormat/>
    <w:rsid w:val="00CA042D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04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CA0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CA042D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CA042D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CA042D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CA042D"/>
    <w:pPr>
      <w:ind w:leftChars="200" w:left="862" w:hangingChars="200" w:hanging="442"/>
    </w:pPr>
    <w:rPr>
      <w:b/>
      <w:i/>
      <w:sz w:val="20"/>
    </w:rPr>
  </w:style>
  <w:style w:type="paragraph" w:styleId="NormalWeb">
    <w:name w:val="Normal (Web)"/>
    <w:basedOn w:val="Normal"/>
    <w:semiHidden/>
    <w:unhideWhenUsed/>
    <w:qFormat/>
    <w:rsid w:val="00CA042D"/>
    <w:pPr>
      <w:spacing w:beforeAutospacing="1" w:after="0" w:afterAutospacing="1"/>
      <w:jc w:val="left"/>
    </w:pPr>
    <w:rPr>
      <w:color w:val="EEECE1" w:themeColor="background2"/>
      <w:kern w:val="0"/>
      <w:sz w:val="24"/>
    </w:rPr>
  </w:style>
  <w:style w:type="table" w:styleId="TableGrid">
    <w:name w:val="Table Grid"/>
    <w:basedOn w:val="TableNormal"/>
    <w:uiPriority w:val="59"/>
    <w:qFormat/>
    <w:rsid w:val="00CA042D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A042D"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sid w:val="00CA042D"/>
    <w:rPr>
      <w:color w:val="0000FF" w:themeColor="hyperlink"/>
      <w:u w:val="single"/>
    </w:rPr>
  </w:style>
  <w:style w:type="paragraph" w:customStyle="1" w:styleId="YJ-Proposal">
    <w:name w:val="YJ-Proposal"/>
    <w:basedOn w:val="Normal"/>
    <w:qFormat/>
    <w:rsid w:val="00CA042D"/>
    <w:pPr>
      <w:numPr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CA042D"/>
    <w:pPr>
      <w:numPr>
        <w:numId w:val="4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CA042D"/>
    <w:pPr>
      <w:numPr>
        <w:numId w:val="5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CA042D"/>
  </w:style>
  <w:style w:type="paragraph" w:customStyle="1" w:styleId="References">
    <w:name w:val="References"/>
    <w:basedOn w:val="Normal"/>
    <w:qFormat/>
    <w:rsid w:val="00CA042D"/>
    <w:pPr>
      <w:numPr>
        <w:numId w:val="6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CA042D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CA042D"/>
  </w:style>
  <w:style w:type="paragraph" w:customStyle="1" w:styleId="3rdlevelproposal">
    <w:name w:val="3rd level proposal"/>
    <w:basedOn w:val="sub-proposal"/>
    <w:next w:val="Normal"/>
    <w:qFormat/>
    <w:rsid w:val="00CA042D"/>
    <w:pPr>
      <w:numPr>
        <w:numId w:val="7"/>
      </w:numPr>
      <w:ind w:leftChars="400" w:left="1282" w:hanging="442"/>
      <w:jc w:val="left"/>
    </w:pPr>
  </w:style>
  <w:style w:type="paragraph" w:customStyle="1" w:styleId="2">
    <w:name w:val="样式2"/>
    <w:basedOn w:val="Normal"/>
    <w:qFormat/>
    <w:rsid w:val="00CA042D"/>
  </w:style>
  <w:style w:type="paragraph" w:customStyle="1" w:styleId="3rdlevelobservation">
    <w:name w:val="3rd level observation"/>
    <w:basedOn w:val="sub-observation"/>
    <w:qFormat/>
    <w:rsid w:val="00CA042D"/>
    <w:pPr>
      <w:numPr>
        <w:numId w:val="8"/>
      </w:numPr>
      <w:ind w:leftChars="400" w:left="1282" w:hanging="442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42D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CA042D"/>
    <w:rPr>
      <w:rFonts w:ascii="Tahoma" w:hAnsi="Tahoma" w:cs="Tahoma"/>
      <w:kern w:val="2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qFormat/>
    <w:rsid w:val="00CA042D"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4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940</Words>
  <Characters>4818</Characters>
  <Application>Microsoft Office Word</Application>
  <DocSecurity>0</DocSecurity>
  <Lines>40</Lines>
  <Paragraphs>11</Paragraphs>
  <ScaleCrop>false</ScaleCrop>
  <Company/>
  <LinksUpToDate>false</LinksUpToDate>
  <CharactersWithSpaces>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5</cp:revision>
  <dcterms:created xsi:type="dcterms:W3CDTF">2019-04-08T03:09:00Z</dcterms:created>
  <dcterms:modified xsi:type="dcterms:W3CDTF">2020-04-10T17:35:00Z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